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20" w:tblpY="1"/>
        <w:tblW w:w="140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241"/>
        <w:gridCol w:w="3529"/>
      </w:tblGrid>
      <w:tr w:rsidR="00F40323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 w:colFirst="1" w:colLast="1"/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</w:rPr>
              <w:t>PARAMETRY WYMAGANE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4858E9" w:rsidP="004858E9">
            <w:pPr>
              <w:widowControl w:val="0"/>
              <w:spacing w:after="3"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Nowy, z</w:t>
            </w:r>
            <w:r w:rsidR="00BA47F5">
              <w:rPr>
                <w:rFonts w:ascii="Calibri" w:hAnsi="Calibri" w:cs="Calibri"/>
                <w:sz w:val="20"/>
                <w:szCs w:val="20"/>
              </w:rPr>
              <w:t>automatyzowany analizator do oznaczeń immunochemicz</w:t>
            </w:r>
            <w:r>
              <w:rPr>
                <w:rFonts w:ascii="Calibri" w:hAnsi="Calibri" w:cs="Calibri"/>
                <w:sz w:val="20"/>
                <w:szCs w:val="20"/>
              </w:rPr>
              <w:t>nych; rok produkcji minimum 2023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podać pełną nazwę, rok produkcji, producenta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wykonywania wymaganych oznaczeń:</w:t>
            </w:r>
          </w:p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chromogranina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</w:t>
            </w:r>
          </w:p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kopeptyna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proAVP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pStyle w:val="western"/>
              <w:widowControl w:val="0"/>
              <w:spacing w:beforeAutospacing="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System wyposażony w: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beforeAutospacing="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jednostkę sterującą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monitor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before="28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czytnik kodów kreskowych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before="28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drukarkę laserową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pacing w:beforeAutospacing="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UPS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Analizator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</w:rPr>
              <w:t>nastołowy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w pełni automatyczny, typu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</w:rPr>
              <w:t>random-access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z możliwością wykonywania pilnych badań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Wydajność urządzenia  minimum 50 testów na godzinę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 xml:space="preserve">Minimum 30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miejsc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próbki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badane</w:t>
            </w:r>
            <w:proofErr w:type="spellEnd"/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Możliwość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 xml:space="preserve"> wykonywania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oznaczeń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osoczu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 xml:space="preserve"> i/lub 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surowicy</w:t>
            </w:r>
            <w:proofErr w:type="spellEnd"/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Analizator zaopatrzony w zewnętrzne urządzenie zasilania awaryjnego UPS podtrzymujące pracę przez co najmniej 20 minut.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highlight w:val="yellow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Minimum 3 chłodzone pozycje odczynnikowe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Stabilność odczynników minimum 6 miesięcy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Identyfikacja próbek badanych, standardów, materiałów kontrolnych i odczynników na podstawie kodu kreskowego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Wbudowany system kontroli jakości z analizą statystyczną i graficzną 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Mobilny stół pod analizator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Dwukierunkowa komunikacja danych z posiadanym przez Zamawiającego laboratoryjnym systemem informatycznym (</w:t>
            </w:r>
            <w:proofErr w:type="spellStart"/>
            <w:r>
              <w:rPr>
                <w:rFonts w:ascii="Calibri" w:hAnsi="Calibri" w:cs="Arial"/>
                <w:color w:val="000000"/>
                <w:sz w:val="20"/>
                <w:szCs w:val="20"/>
              </w:rPr>
              <w:t>InfoMedica</w:t>
            </w:r>
            <w:proofErr w:type="spellEnd"/>
            <w:r>
              <w:rPr>
                <w:rFonts w:ascii="Calibri" w:hAnsi="Calibri" w:cs="Arial"/>
                <w:color w:val="000000"/>
                <w:sz w:val="20"/>
                <w:szCs w:val="20"/>
              </w:rPr>
              <w:t>, Asseco) a zamawianym analizatorem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Wykonawca wraz z dostawą analizatora dostarczy bezpłatnie protokół transmisji danych w formie elektronicznej i/lub pisemnej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 kwocie zaoferowanego Zamówienia Wykonawca  zobowiązuje się do:</w:t>
            </w:r>
          </w:p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− dostarczenia opisu interfejsu pozwalającego na podłączenie aparatu do posiadanego przez Zamawiającego laboratoryjnego systemu informatycznego </w:t>
            </w:r>
          </w:p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−  podłączenia i pokrycia kosztów podłączenia  aparatu do posiadanego przez 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Zamawiającego systemu informatycznego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(pisemna deklaracja Wykonawcy)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Wymagana jest pełna transmisja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danych, bez konieczności instalacji dodatkowego (ponad standardowego) oprogramowania w komputerze sterującym pracą aparatu;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Analizator przesyła do posiadanego przez Zamawiającego systemu informatycznego dane pacjenta tj. imię, nazwisko, PESEL oraz SID zlecenia, nazwę badania, wynik badania wraz z jednostką, datę wyniku oraz nazwę aparatu, na którym zostało wykonane badanie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Pokrycie kosztów uczestnictwa w zewnątrzlaboratoryjnej kontroli jakości w zakresie wszystkich oznaczeń, które oferuje Wykonawca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Wykonywanie w czasie trwania umowy okresowych przeglądów technicznych analizatora (zgodnie z zaleceniami producenta urządzenia minimum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1 x w roku), obejmujących: dojazd, pracę inżyniera, wszystkie części zużywalne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i zamienne.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Serwisowanie analizatora i sprzętu dodatkowego (w tym: jednostka sterująca, monitor, drukarka, UPS) przez cały okres dzierżawy obejmujące: dojazd, pracę inżyniera serwisu, wszystkie części zużywalne i zamienne oraz niezbędne akcesoria (np. wężyki, przewody odczynnikowe, igły, zawory, elementy  mechaniczne i elektryczne analizatora) związane z bieżącą pracą oferowanego urządzenia.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Bezpłatne aktualizacje oprogramowania podczas trwania umowy.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Bezpłatne przeszkolenie użytkowników z zakresu obsługi analizatora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(tj. 2-3 pracowników) w miejscu instalacji urządzenia.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Interwencja serwisu na zgłoszenie awarii (przyjazd do Zamawiającego</w:t>
            </w:r>
            <w:r>
              <w:rPr>
                <w:rFonts w:ascii="Calibri" w:hAnsi="Calibri" w:cs="Arial"/>
                <w:sz w:val="20"/>
                <w:szCs w:val="20"/>
              </w:rPr>
              <w:br/>
              <w:t>w celu naprawy) do 24h w dni robocze od momentu zgłoszenia awarii autoryzowanemu serwisowi (telefonicznie, faxem, pocztą elektroniczną).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podać dane punktów serwisowych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 przypadku trzykrotnej awarii tego samego zespołu/podzespołu/modułu systemu w okresie obowiązywania umowy – wymiana systemu na nowy</w:t>
            </w:r>
            <w:r>
              <w:rPr>
                <w:rFonts w:ascii="Calibri" w:hAnsi="Calibri" w:cs="Arial"/>
                <w:sz w:val="20"/>
                <w:szCs w:val="20"/>
              </w:rPr>
              <w:br/>
              <w:t>o parametrach nie niższych niż oferowany, na koszt Wykonawcy.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Wykonawca zapewni pełne wspomaganie techniczne w zakresie uruchomienia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br/>
              <w:t>i funkcjonowania urządzenia, jak również pomoc techniczną oraz aplikacyjną w uruchamianiu zestawów odczynnikowych podczas trwania umowy.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  <w:t>Wykonawca dostarczy opis sposobu utylizacji odpadów wraz z analizatorem w dniu instalacji w wersji papierowej.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  <w:t>Wykonawca dostarczy: opis biologicznego i ogólnego bezpieczeństwa pracy na analizatorze z odczynnikami, instrukcję stanowiskową. Opis dostarczyć wraz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  <w:br/>
              <w:t>z analizatorem w dniu instalacji ( na urządzeniu USB).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Wykonawca dostarczy: harmonogram wraz z opisem wszystkich wymaganych od użytkownika czynności konserwacyjnych niezbędnych do prawidłowego funkcjonowania analizatora zgodnie z zaleceniami producenta. Opis dostarczyć wraz z analizatorem w dniu instalacji w formie papierowej.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Wykonawca dostarczy wraz z analizatorem w dniu instalacji w wersji papierowej, a także na urządzeniu USB: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instrukcję obsługi w języku polski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- opis wszystkich technologii pomiarów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wykaz alertów w szczególności błędów z instrukcją ich usuwania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skróconą instrukcję dla użytkownika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dokumentację niezbędną do nadzoru SOP, LOG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 w:hanging="357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-karty charakterystyki odczynników, kontroli, kalibratorów i wszystkich wymaganych do prawidłowego użytkowania analizatora substancji.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Aktualne, zgodnie z obowiązującymi przepisami karty charakterystyki substancji niebezpiecznych dla odczynników dostarczone wraz z pierwszą dostawą,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w przypadku aktualizacji oraz na każde żądanie Zamawiającego.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Urządzenie zgodne z Rozporządzeniem 2017/746 w sprawie wyrobów medycznych do diagnostyki in vitro (IVDR) bądź Dyrektywą Rady 98/79/WE (IVDD) wraz z późniejszymi przepisami przejściowymi, potwierdzone deklaracją zgodności i/lub certyfikatem CE ( w zależności od klasy wyrobu medycznego do diagnostyki in vitro) oraz stosownymi oświadczeniami Wykonawcy (jeśli są wymagane).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Okres gwarancji analizatora nie może być krótszy niż czas trwania umowy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(48 miesięcy)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bookmarkEnd w:id="0"/>
    <w:p w:rsidR="00F40323" w:rsidRDefault="00BA47F5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br/>
      </w:r>
    </w:p>
    <w:p w:rsidR="00F40323" w:rsidRDefault="00BA47F5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F40323">
      <w:headerReference w:type="default" r:id="rId8"/>
      <w:footerReference w:type="default" r:id="rId9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B24" w:rsidRDefault="00440B24">
      <w:r>
        <w:separator/>
      </w:r>
    </w:p>
  </w:endnote>
  <w:endnote w:type="continuationSeparator" w:id="0">
    <w:p w:rsidR="00440B24" w:rsidRDefault="0044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323" w:rsidRDefault="00F40323">
    <w:pPr>
      <w:rPr>
        <w:rFonts w:ascii="Bookman Old Style" w:hAnsi="Bookman Old Style" w:cs="Bookman Old Style"/>
        <w:sz w:val="16"/>
        <w:szCs w:val="16"/>
      </w:rPr>
    </w:pPr>
  </w:p>
  <w:p w:rsidR="00F40323" w:rsidRDefault="00BA47F5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9E3E2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9E3E2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B24" w:rsidRDefault="00440B24">
      <w:r>
        <w:separator/>
      </w:r>
    </w:p>
  </w:footnote>
  <w:footnote w:type="continuationSeparator" w:id="0">
    <w:p w:rsidR="00440B24" w:rsidRDefault="00440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323" w:rsidRDefault="00F40323">
    <w:pPr>
      <w:jc w:val="both"/>
      <w:rPr>
        <w:rFonts w:ascii="Calibri" w:hAnsi="Calibri"/>
      </w:rPr>
    </w:pPr>
  </w:p>
  <w:p w:rsidR="00F40323" w:rsidRDefault="00BA47F5">
    <w:pPr>
      <w:spacing w:line="276" w:lineRule="auto"/>
      <w:ind w:hanging="851"/>
      <w:rPr>
        <w:rFonts w:asciiTheme="minorHAnsi" w:hAnsiTheme="minorHAnsi" w:cstheme="minorHAnsi"/>
        <w:color w:val="A6A6A6"/>
        <w:sz w:val="24"/>
      </w:rPr>
    </w:pPr>
    <w:r>
      <w:rPr>
        <w:rFonts w:asciiTheme="minorHAnsi" w:hAnsiTheme="minorHAnsi" w:cstheme="minorHAnsi"/>
        <w:color w:val="A6A6A6"/>
        <w:sz w:val="24"/>
      </w:rPr>
      <w:t>Załącznik nr 2 do zapytania DZ/DZ-072-</w:t>
    </w:r>
    <w:r w:rsidR="003C32DF">
      <w:rPr>
        <w:rFonts w:asciiTheme="minorHAnsi" w:hAnsiTheme="minorHAnsi" w:cstheme="minorHAnsi"/>
        <w:color w:val="A6A6A6"/>
        <w:sz w:val="24"/>
      </w:rPr>
      <w:t>40</w:t>
    </w:r>
    <w:r w:rsidR="007A19BA">
      <w:rPr>
        <w:rFonts w:asciiTheme="minorHAnsi" w:hAnsiTheme="minorHAnsi" w:cstheme="minorHAnsi"/>
        <w:color w:val="A6A6A6"/>
        <w:sz w:val="24"/>
      </w:rPr>
      <w:t>/26</w:t>
    </w:r>
  </w:p>
  <w:p w:rsidR="00F40323" w:rsidRDefault="00F40323">
    <w:pPr>
      <w:spacing w:line="276" w:lineRule="auto"/>
      <w:ind w:left="-851"/>
      <w:rPr>
        <w:rFonts w:asciiTheme="minorHAnsi" w:hAnsiTheme="minorHAnsi" w:cstheme="minorHAnsi"/>
        <w:sz w:val="24"/>
        <w:lang w:eastAsia="pl-PL"/>
      </w:rPr>
    </w:pP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 xml:space="preserve">SUKCESYWNE DOSTAWY ODCZYNNIKÓW I MATERIAŁÓW ZUŻYWALNYCH </w:t>
    </w: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 xml:space="preserve">NIEZBĘDNYCH DO WYKONYWANIA BADAŃ IMMUNOCHEMICZNYCH WRAZ Z DZIERŻAWĄ ANALIZATORA  </w:t>
    </w: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 xml:space="preserve">DLA NARODOWEGO INSTYTUTU ONKOLOGII IM. MARII SKŁODOWSKIEJ-CURIE – </w:t>
    </w: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>PAŃSTWOWEGO INSTYTUTU BADAWCZEGO ODDZIAŁU W GLIWICACH</w:t>
    </w:r>
  </w:p>
  <w:p w:rsidR="00F40323" w:rsidRDefault="00F40323">
    <w:pPr>
      <w:spacing w:line="276" w:lineRule="auto"/>
      <w:ind w:hanging="851"/>
      <w:rPr>
        <w:rFonts w:asciiTheme="minorHAnsi" w:hAnsiTheme="minorHAnsi" w:cstheme="minorHAnsi"/>
        <w:sz w:val="24"/>
      </w:rPr>
    </w:pPr>
  </w:p>
  <w:p w:rsidR="00F40323" w:rsidRDefault="00BA47F5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b/>
        <w:sz w:val="24"/>
      </w:rPr>
      <w:t>P A R A M E T R Y  W Y M A G A N E</w:t>
    </w:r>
  </w:p>
  <w:p w:rsidR="00F40323" w:rsidRDefault="00F40323">
    <w:pPr>
      <w:rPr>
        <w:rFonts w:ascii="Bookman Old Style" w:hAnsi="Bookman Old Style" w:cs="Bookman Old Style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0769A"/>
    <w:multiLevelType w:val="multilevel"/>
    <w:tmpl w:val="717E55B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C60425B"/>
    <w:multiLevelType w:val="multilevel"/>
    <w:tmpl w:val="B824CE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6C3CCF"/>
    <w:multiLevelType w:val="multilevel"/>
    <w:tmpl w:val="1A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323"/>
    <w:rsid w:val="003C32DF"/>
    <w:rsid w:val="00440B24"/>
    <w:rsid w:val="004858E9"/>
    <w:rsid w:val="00662372"/>
    <w:rsid w:val="00783E0D"/>
    <w:rsid w:val="007A19BA"/>
    <w:rsid w:val="009E3E2D"/>
    <w:rsid w:val="00BA47F5"/>
    <w:rsid w:val="00D81182"/>
    <w:rsid w:val="00E6139B"/>
    <w:rsid w:val="00F4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F1485-3A18-4049-ADFC-B70A31A6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qFormat/>
    <w:rsid w:val="00BE1597"/>
    <w:pPr>
      <w:suppressAutoHyphens w:val="0"/>
    </w:pPr>
    <w:rPr>
      <w:rFonts w:ascii="Calibri" w:hAnsi="Calibri" w:cs="Calibri"/>
      <w:color w:val="000000"/>
      <w:sz w:val="24"/>
      <w:szCs w:val="24"/>
    </w:rPr>
  </w:style>
  <w:style w:type="paragraph" w:customStyle="1" w:styleId="western">
    <w:name w:val="western"/>
    <w:basedOn w:val="Normalny"/>
    <w:qFormat/>
    <w:rsid w:val="00DB3E1A"/>
    <w:pPr>
      <w:suppressAutoHyphens w:val="0"/>
      <w:spacing w:beforeAutospacing="1" w:afterAutospacing="1" w:line="360" w:lineRule="auto"/>
      <w:jc w:val="center"/>
    </w:pPr>
    <w:rPr>
      <w:rFonts w:ascii="Book Antiqua" w:hAnsi="Book Antiqua"/>
      <w:b/>
      <w:bCs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1AF7D-2B08-4D1E-B614-F0A7BB30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809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3</cp:revision>
  <cp:lastPrinted>2026-02-17T13:01:00Z</cp:lastPrinted>
  <dcterms:created xsi:type="dcterms:W3CDTF">2026-02-17T13:01:00Z</dcterms:created>
  <dcterms:modified xsi:type="dcterms:W3CDTF">2026-02-17T13:02:00Z</dcterms:modified>
  <dc:language>pl-PL</dc:language>
</cp:coreProperties>
</file>